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A23" w:rsidRPr="00282A23" w:rsidRDefault="00282A23" w:rsidP="00282A23">
      <w:pPr>
        <w:spacing w:line="480" w:lineRule="auto"/>
        <w:rPr>
          <w:rFonts w:ascii="Times New Roman" w:hAnsi="Times New Roman" w:cs="Times New Roman"/>
          <w:b/>
          <w:sz w:val="24"/>
          <w:szCs w:val="24"/>
        </w:rPr>
      </w:pPr>
    </w:p>
    <w:p w:rsidR="00282A23" w:rsidRPr="00282A23" w:rsidRDefault="00282A23" w:rsidP="00282A23">
      <w:pPr>
        <w:spacing w:line="480" w:lineRule="auto"/>
        <w:rPr>
          <w:rFonts w:ascii="Times New Roman" w:hAnsi="Times New Roman" w:cs="Times New Roman"/>
          <w:b/>
          <w:sz w:val="24"/>
          <w:szCs w:val="24"/>
        </w:rPr>
      </w:pPr>
    </w:p>
    <w:p w:rsidR="00282A23" w:rsidRPr="00282A23" w:rsidRDefault="00282A23" w:rsidP="00282A23">
      <w:pPr>
        <w:spacing w:line="480" w:lineRule="auto"/>
        <w:rPr>
          <w:rFonts w:ascii="Times New Roman" w:hAnsi="Times New Roman" w:cs="Times New Roman"/>
          <w:b/>
          <w:sz w:val="24"/>
          <w:szCs w:val="24"/>
        </w:rPr>
      </w:pPr>
    </w:p>
    <w:p w:rsidR="00282A23" w:rsidRPr="00282A23" w:rsidRDefault="00282A23" w:rsidP="00282A23">
      <w:pPr>
        <w:spacing w:line="480" w:lineRule="auto"/>
        <w:rPr>
          <w:rFonts w:ascii="Times New Roman" w:hAnsi="Times New Roman" w:cs="Times New Roman"/>
          <w:b/>
          <w:sz w:val="24"/>
          <w:szCs w:val="24"/>
        </w:rPr>
      </w:pPr>
    </w:p>
    <w:p w:rsidR="00282A23" w:rsidRPr="00282A23" w:rsidRDefault="00282A23" w:rsidP="00282A23">
      <w:pPr>
        <w:spacing w:line="480" w:lineRule="auto"/>
        <w:rPr>
          <w:rFonts w:ascii="Times New Roman" w:hAnsi="Times New Roman" w:cs="Times New Roman"/>
          <w:b/>
          <w:sz w:val="24"/>
          <w:szCs w:val="24"/>
        </w:rPr>
      </w:pPr>
    </w:p>
    <w:p w:rsidR="00282A23" w:rsidRPr="00282A23" w:rsidRDefault="00282A23" w:rsidP="00282A23">
      <w:pPr>
        <w:spacing w:line="480" w:lineRule="auto"/>
        <w:rPr>
          <w:rFonts w:ascii="Times New Roman" w:hAnsi="Times New Roman" w:cs="Times New Roman"/>
          <w:b/>
          <w:sz w:val="24"/>
          <w:szCs w:val="24"/>
        </w:rPr>
      </w:pPr>
    </w:p>
    <w:p w:rsidR="00282A23" w:rsidRPr="00282A23" w:rsidRDefault="00282A23" w:rsidP="00282A23">
      <w:pPr>
        <w:spacing w:line="480" w:lineRule="auto"/>
        <w:jc w:val="center"/>
        <w:rPr>
          <w:rFonts w:ascii="Times New Roman" w:hAnsi="Times New Roman" w:cs="Times New Roman"/>
          <w:sz w:val="24"/>
          <w:szCs w:val="24"/>
        </w:rPr>
      </w:pPr>
      <w:r w:rsidRPr="00282A23">
        <w:rPr>
          <w:rFonts w:ascii="Times New Roman" w:hAnsi="Times New Roman" w:cs="Times New Roman"/>
          <w:sz w:val="24"/>
          <w:szCs w:val="24"/>
        </w:rPr>
        <w:t>Overcrowding in Prisons and Policy Recommendation</w:t>
      </w:r>
    </w:p>
    <w:p w:rsidR="00282A23" w:rsidRPr="00282A23" w:rsidRDefault="00282A23" w:rsidP="00282A23">
      <w:pPr>
        <w:spacing w:line="480" w:lineRule="auto"/>
        <w:jc w:val="center"/>
        <w:rPr>
          <w:rFonts w:ascii="Times New Roman" w:hAnsi="Times New Roman" w:cs="Times New Roman"/>
          <w:sz w:val="24"/>
          <w:szCs w:val="24"/>
        </w:rPr>
      </w:pPr>
      <w:r w:rsidRPr="00282A23">
        <w:rPr>
          <w:rFonts w:ascii="Times New Roman" w:hAnsi="Times New Roman" w:cs="Times New Roman"/>
          <w:sz w:val="24"/>
          <w:szCs w:val="24"/>
        </w:rPr>
        <w:t>Name of Student</w:t>
      </w:r>
    </w:p>
    <w:p w:rsidR="00282A23" w:rsidRPr="00282A23" w:rsidRDefault="00282A23" w:rsidP="00282A23">
      <w:pPr>
        <w:spacing w:line="480" w:lineRule="auto"/>
        <w:jc w:val="center"/>
        <w:rPr>
          <w:rFonts w:ascii="Times New Roman" w:hAnsi="Times New Roman" w:cs="Times New Roman"/>
          <w:sz w:val="24"/>
          <w:szCs w:val="24"/>
        </w:rPr>
      </w:pPr>
      <w:r w:rsidRPr="00282A23">
        <w:rPr>
          <w:rFonts w:ascii="Times New Roman" w:hAnsi="Times New Roman" w:cs="Times New Roman"/>
          <w:sz w:val="24"/>
          <w:szCs w:val="24"/>
        </w:rPr>
        <w:t>Name of Institution</w:t>
      </w:r>
    </w:p>
    <w:p w:rsidR="00282A23" w:rsidRPr="00282A23" w:rsidRDefault="00282A23" w:rsidP="00282A23">
      <w:pPr>
        <w:spacing w:line="480" w:lineRule="auto"/>
        <w:jc w:val="center"/>
        <w:rPr>
          <w:rFonts w:ascii="Times New Roman" w:hAnsi="Times New Roman" w:cs="Times New Roman"/>
          <w:b/>
          <w:sz w:val="24"/>
          <w:szCs w:val="24"/>
        </w:rPr>
      </w:pPr>
      <w:r w:rsidRPr="00282A23">
        <w:rPr>
          <w:rFonts w:ascii="Times New Roman" w:hAnsi="Times New Roman" w:cs="Times New Roman"/>
          <w:sz w:val="24"/>
          <w:szCs w:val="24"/>
        </w:rPr>
        <w:t>Date</w:t>
      </w:r>
      <w:r w:rsidRPr="00282A23">
        <w:rPr>
          <w:rFonts w:ascii="Times New Roman" w:hAnsi="Times New Roman" w:cs="Times New Roman"/>
          <w:b/>
          <w:sz w:val="24"/>
          <w:szCs w:val="24"/>
        </w:rPr>
        <w:t xml:space="preserve"> </w:t>
      </w:r>
      <w:r w:rsidRPr="00282A23">
        <w:rPr>
          <w:rFonts w:ascii="Times New Roman" w:hAnsi="Times New Roman" w:cs="Times New Roman"/>
          <w:b/>
          <w:sz w:val="24"/>
          <w:szCs w:val="24"/>
        </w:rPr>
        <w:br w:type="page"/>
      </w:r>
    </w:p>
    <w:p w:rsidR="00282A23" w:rsidRPr="00282A23" w:rsidRDefault="00282A23" w:rsidP="00282A23">
      <w:pPr>
        <w:spacing w:line="480" w:lineRule="auto"/>
        <w:ind w:firstLine="720"/>
        <w:jc w:val="center"/>
        <w:rPr>
          <w:rFonts w:ascii="Times New Roman" w:hAnsi="Times New Roman" w:cs="Times New Roman"/>
          <w:b/>
          <w:sz w:val="24"/>
          <w:szCs w:val="24"/>
        </w:rPr>
      </w:pPr>
      <w:r w:rsidRPr="00282A23">
        <w:rPr>
          <w:rFonts w:ascii="Times New Roman" w:hAnsi="Times New Roman" w:cs="Times New Roman"/>
          <w:b/>
          <w:sz w:val="24"/>
          <w:szCs w:val="24"/>
        </w:rPr>
        <w:lastRenderedPageBreak/>
        <w:t>Statement of the public policy problem</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The United States has a history referring to the nation as the land of the free. However, the country now retains the record for the highest rate of incarceration globally. The U.S. Bureau of Justice records that as of December 2016, the correctional system for the country hosted 6,613,500 persons (Kaeble &amp; Cowhig, 2018). However, the prison population is significantly less, at an average of 2.2 million, adding up to almost a quarter of the prison population in the world. The data provides a ratio of 655 adults in prison for every 100,000 citizens. Analysis of the people against that of the states, the prison hosts enough to pace among the top ten in high populations. A contributing notion to the increase in the number of inmates for the prisons is data showing a significant increase in crime. The clauses used by the criminal justice system have long instituted strict measures to fight against crime, which also increased the statistics for the population in the prisons. This paper intends to provide probable solutions to the issue and evaluate one from the recommendation.</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In comparison to the 1970s, The United States is now evidence of a 700% increase in the prison population. However, the nation is evidence of significant growth over time, with new policies and perceptions turning against the prevailing norm of mass incarceration. Various attempts have been implemented as probable solutions to the overcrowding situation in prison. The population of the jail as of 2015 was thrice that of the same system in 1983. The brunts of the people hosted are those whose cases are still within the criminal justice system. DOJ estimates that the cost of running these facilities to the local communities in 2011 was $22.2 billion. The VERA Institute highlights that the figure is not an accurate depiction of the commitment from the cities. The case of New York in 2014 is an accurate depiction of the error in the statistics. From the $22.2 billion stipulated, the state of New York received $1.1 billion for </w:t>
      </w:r>
      <w:r w:rsidRPr="00282A23">
        <w:rPr>
          <w:rFonts w:ascii="Times New Roman" w:hAnsi="Times New Roman" w:cs="Times New Roman"/>
          <w:sz w:val="24"/>
          <w:szCs w:val="24"/>
        </w:rPr>
        <w:lastRenderedPageBreak/>
        <w:t xml:space="preserve">its correctional facilities. However, additional agency inputs add up to $1.3 billion, summing up the total expenditure to $2.4 billion.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Policies in the criminal justice system are competent in both reducing the population and cost associated with imprisonment. Such analysis takes into account Johnson County versus Bernalillo County. The average price per inmate each day for the former is $191.95, while that of the latter county is $85.63 for the financial year 2014 (Vera Institute of Justice, 2015). However, the taxpayers from Johnson spent less than those in Bernalillo in jail expenditure because the former had three times lower incarceration rates than the latter for the same year. Each resident in Johnson County spent $82, adding up to $49 million in jail expenditure, while residents in Bernalillo spent $113 summing up to $78 million. </w:t>
      </w:r>
    </w:p>
    <w:p w:rsidR="00282A23" w:rsidRPr="00282A23" w:rsidRDefault="00282A23" w:rsidP="00282A23">
      <w:pPr>
        <w:spacing w:line="480" w:lineRule="auto"/>
        <w:ind w:firstLine="720"/>
        <w:jc w:val="center"/>
        <w:rPr>
          <w:rFonts w:ascii="Times New Roman" w:hAnsi="Times New Roman" w:cs="Times New Roman"/>
          <w:b/>
          <w:sz w:val="24"/>
          <w:szCs w:val="24"/>
        </w:rPr>
      </w:pPr>
      <w:r w:rsidRPr="00282A23">
        <w:rPr>
          <w:rFonts w:ascii="Times New Roman" w:hAnsi="Times New Roman" w:cs="Times New Roman"/>
          <w:b/>
          <w:sz w:val="24"/>
          <w:szCs w:val="24"/>
        </w:rPr>
        <w:t>Description of the Problem</w:t>
      </w:r>
    </w:p>
    <w:p w:rsidR="00282A23" w:rsidRPr="00282A23" w:rsidRDefault="00282A23" w:rsidP="00282A23">
      <w:pPr>
        <w:spacing w:line="480" w:lineRule="auto"/>
        <w:rPr>
          <w:rFonts w:ascii="Times New Roman" w:hAnsi="Times New Roman" w:cs="Times New Roman"/>
          <w:sz w:val="24"/>
          <w:szCs w:val="24"/>
        </w:rPr>
      </w:pPr>
      <w:r w:rsidRPr="00282A23">
        <w:rPr>
          <w:rFonts w:ascii="Times New Roman" w:hAnsi="Times New Roman" w:cs="Times New Roman"/>
          <w:sz w:val="24"/>
          <w:szCs w:val="24"/>
        </w:rPr>
        <w:t>Causes of the increased prison population</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De-institutionalization of mental health and war on drugs has significantly increased the population in prison. The courts have set a precedent preferring outpatient care over inpatients facilities for mental health patients (Yohanna, 2013). The policy favored new drugs that would be effective for outpatients care, and perceived inpatients care as dehumanizing. However, with a decline in inpatient patients, the funding did not automatically redirect to outpatient care. The resulting impact is the mass release of patients without social support, housing provisions, and adequate care. Most of the population ended up arrested for disruptive behavior, petty theft, and substance abuse. A national survey highlighted that of 3-4% adults of the prison inmates suffered from severe mental illness from 2008 to 2014. However, a case study in 2009 found that 31% of women and 14.5% of men in prisons had a severe mental illness. A case study from New York </w:t>
      </w:r>
      <w:r w:rsidRPr="00282A23">
        <w:rPr>
          <w:rFonts w:ascii="Times New Roman" w:hAnsi="Times New Roman" w:cs="Times New Roman"/>
          <w:sz w:val="24"/>
          <w:szCs w:val="24"/>
        </w:rPr>
        <w:lastRenderedPageBreak/>
        <w:t xml:space="preserve">indicated that most of the frequently incarcerated population had sentences involving misdemeanors. From the same group, 51.5% were homeless, while 19% had serious mental illnesses.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war on drugs has created a crisis of mass incarceration. The policy goes back to the 1980s with illegal drugs associated with lengthy and harsh sentences. The analysis shows a stiff increase in incarceration rates from nearly 41,000 in 1980 to more than 450,000 in 2016. The inmates also lack follow up for the drug use and abuse while still in prison and even after serving their sentences, leading to increased recidivism. A resultant impact is an increase in the chances of overdose. The drug war also led to the victimization of minority communities. The African Americans and non-Hispanic blacks have an average population in prisons that is almost twice the size for the whites. The racism is evident in the portrayal of negligible differences in the propensity of drug abuse between the two factions. </w:t>
      </w:r>
    </w:p>
    <w:p w:rsidR="00282A23" w:rsidRPr="00282A23" w:rsidRDefault="00282A23" w:rsidP="00282A23">
      <w:pPr>
        <w:spacing w:line="480" w:lineRule="auto"/>
        <w:ind w:firstLine="720"/>
        <w:jc w:val="center"/>
        <w:rPr>
          <w:rFonts w:ascii="Times New Roman" w:hAnsi="Times New Roman" w:cs="Times New Roman"/>
          <w:b/>
          <w:sz w:val="24"/>
          <w:szCs w:val="24"/>
        </w:rPr>
      </w:pPr>
      <w:r w:rsidRPr="00282A23">
        <w:rPr>
          <w:rFonts w:ascii="Times New Roman" w:hAnsi="Times New Roman" w:cs="Times New Roman"/>
          <w:b/>
          <w:sz w:val="24"/>
          <w:szCs w:val="24"/>
        </w:rPr>
        <w:t>Cost of Imprisonment</w:t>
      </w:r>
    </w:p>
    <w:p w:rsidR="00282A23" w:rsidRPr="00282A23" w:rsidRDefault="00282A23" w:rsidP="00282A23">
      <w:pPr>
        <w:pStyle w:val="ListParagraph"/>
        <w:numPr>
          <w:ilvl w:val="0"/>
          <w:numId w:val="2"/>
        </w:numPr>
        <w:spacing w:line="480" w:lineRule="auto"/>
        <w:rPr>
          <w:rFonts w:ascii="Times New Roman" w:hAnsi="Times New Roman" w:cs="Times New Roman"/>
          <w:sz w:val="24"/>
          <w:szCs w:val="24"/>
        </w:rPr>
      </w:pPr>
      <w:r w:rsidRPr="00282A23">
        <w:rPr>
          <w:rFonts w:ascii="Times New Roman" w:hAnsi="Times New Roman" w:cs="Times New Roman"/>
          <w:sz w:val="24"/>
          <w:szCs w:val="24"/>
        </w:rPr>
        <w:t xml:space="preserve">Federal Burden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average price spent on the correctional facilities in the United States is $80 billion. The essential value of living for a single prisoner within the correctional facilities in the United States is $30,000 to $40,000 annually. The amount does not account for legal fees, transportation costs, rehabilitation efforts, and medicine. According to the Federal Register, the cost of imprisonment for federal inmates cost $87.61 per day, summing up to $31,977.65 for 365 days. The cost for confinement in a Residential Center for the same year summed up to $71.46 per day, with an annual tally of @26,082.90. Kathleen Kenney notes that the sum of the above does not account for the activation costs (Kenney, 2016). Somewhat, the monetary obligation for </w:t>
      </w:r>
      <w:r w:rsidRPr="00282A23">
        <w:rPr>
          <w:rFonts w:ascii="Times New Roman" w:hAnsi="Times New Roman" w:cs="Times New Roman"/>
          <w:sz w:val="24"/>
          <w:szCs w:val="24"/>
        </w:rPr>
        <w:lastRenderedPageBreak/>
        <w:t>prisoners in the Bureau of Prison facilities is divided by inmate-days incurred to get the cost per day. The value, however, differs from state to state, with some recording as high as $60,000. The accumulation of the sum is the burden of taxpayers, and the funds are directed towards securing, housing, and feeding the inmates.</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case of Massachusetts presents significant findings that a decrease in population by 5000 inmates still increased the correctional budget from $254 million in 2011 to $1.4 billion in 2019 (Forman &amp; Widmer, 2018). Though the cited cost of incarceration is $80 billion in the budget (DeVuono-Powell, Schweidler, Walters, &amp; Zohrabi, 2015), Wakefield and Wideman stipulate that the real burden of funding exceeds the specified amount (Wakefield &amp; Wildemand, 2014). The difference amounts to the lack of consideration of cost borne by communities, children, and the families of the inmates, all of whom committed no crime. The above is necessary for calculating the effectiveness of the policies. The brunt of the burden by these innocent victims, though not specific, the estimated value is above $500 million. A total load of incarceration to the nation is almost 6% of the GDP, which culminates in more than eleven multiples of the spending of correction facilities. </w:t>
      </w:r>
    </w:p>
    <w:p w:rsidR="00282A23" w:rsidRPr="00282A23" w:rsidRDefault="00282A23" w:rsidP="00282A23">
      <w:pPr>
        <w:pStyle w:val="ListParagraph"/>
        <w:numPr>
          <w:ilvl w:val="0"/>
          <w:numId w:val="2"/>
        </w:numPr>
        <w:spacing w:line="480" w:lineRule="auto"/>
        <w:rPr>
          <w:rFonts w:ascii="Times New Roman" w:hAnsi="Times New Roman" w:cs="Times New Roman"/>
          <w:sz w:val="24"/>
          <w:szCs w:val="24"/>
        </w:rPr>
      </w:pPr>
      <w:r w:rsidRPr="00282A23">
        <w:rPr>
          <w:rFonts w:ascii="Times New Roman" w:hAnsi="Times New Roman" w:cs="Times New Roman"/>
          <w:sz w:val="24"/>
          <w:szCs w:val="24"/>
        </w:rPr>
        <w:t>Monetary Burden to Inmates</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Costs include those borne by the prisoners as they serve their sentences, which may trickle to after they are released from prisons. Social burden and poverty are the most common effects of imprisonment. The inmates lose an incalculable amount of wages for their time in prison. The group also requires medical and psychological attention for fatal and non-fatal injuries, which estimates to more than $30 billion. The inmates also have a high mortality rate inside the prison facilities, and even once they are released after serving their sentences. After </w:t>
      </w:r>
      <w:r w:rsidRPr="00282A23">
        <w:rPr>
          <w:rFonts w:ascii="Times New Roman" w:hAnsi="Times New Roman" w:cs="Times New Roman"/>
          <w:sz w:val="24"/>
          <w:szCs w:val="24"/>
        </w:rPr>
        <w:lastRenderedPageBreak/>
        <w:t xml:space="preserve">release from prison, the potential for earning for the prisoners is low since most employers steer clear from an ex-convict. The fact reduces the lifetime earning potential of the group, estimating a loss in $230 billion. The effect may also manifest as psychological, which becomes difficult to put into measurable statistics. The inmates are also capable of innovation and human potential that is decisive enough to impact the nation. Imprisonment curbs that potential resulting in less than stellar production from the inmates in correctional facilities. </w:t>
      </w:r>
    </w:p>
    <w:p w:rsidR="00282A23" w:rsidRPr="00282A23" w:rsidRDefault="00282A23" w:rsidP="00282A23">
      <w:pPr>
        <w:pStyle w:val="ListParagraph"/>
        <w:numPr>
          <w:ilvl w:val="0"/>
          <w:numId w:val="2"/>
        </w:numPr>
        <w:spacing w:line="480" w:lineRule="auto"/>
        <w:rPr>
          <w:rFonts w:ascii="Times New Roman" w:hAnsi="Times New Roman" w:cs="Times New Roman"/>
          <w:sz w:val="24"/>
          <w:szCs w:val="24"/>
        </w:rPr>
      </w:pPr>
      <w:r w:rsidRPr="00282A23">
        <w:rPr>
          <w:rFonts w:ascii="Times New Roman" w:hAnsi="Times New Roman" w:cs="Times New Roman"/>
          <w:sz w:val="24"/>
          <w:szCs w:val="24"/>
        </w:rPr>
        <w:t>The burden to friends and relatives</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Additional unaccounted costs include the burden placed on third parties with no direct ties to the crime or the criminal justice system. The costs may vary depending on the case, therefore, lacking actionable statistics, but include phone calls, legal fees, gas, and in other cases, loss of income (DeVuono-Powell, Schweidler, Walters, &amp; Zohrabi, 2015). Every dollar for the cost of incarceration generates an estimate of ten dollars in social cost impacts. Incarceration consequentially impacts social networks and causes emotional harm to the families and children of the inmates. The nature of prisons and jails is criminogenic, which increases the rate of incarceration for children of convicted parents (Wakefield &amp; Wildemand, 2014). The level of education for the same group of children is low, therefore limiting their potential and lowering their probable and subsequent wages when they mature into adulthood. Some children are also left home, leading to foster homes and increased infant mortality (Comfort, McKay, Landwehr, Kennedy, Bir, &amp; Lindquist, 2018).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criminal justice procedures for the indigent inmates rake in debt, which continually adds on interest, born by the prisoners and their families (Wakefield &amp; Wildemand, 2014). An additional cost for the immediate relatives of the inmates is divorce and separation proceedings. </w:t>
      </w:r>
      <w:r w:rsidRPr="00282A23">
        <w:rPr>
          <w:rFonts w:ascii="Times New Roman" w:hAnsi="Times New Roman" w:cs="Times New Roman"/>
          <w:sz w:val="24"/>
          <w:szCs w:val="24"/>
        </w:rPr>
        <w:lastRenderedPageBreak/>
        <w:t xml:space="preserve">Crime also culminates in a loss in real estate, which drives down the property value. Friends and relatives also fund the visitation, eviction, and moving costs associated with imprisonment. The reentry programs, apart from those supported by non-profit organizations, require additional funding from the relatives of former inmates, who run the risks of homelessness after serving their sentences. </w:t>
      </w:r>
    </w:p>
    <w:p w:rsidR="00282A23" w:rsidRPr="00282A23" w:rsidRDefault="00282A23" w:rsidP="00282A23">
      <w:pPr>
        <w:pStyle w:val="ListParagraph"/>
        <w:numPr>
          <w:ilvl w:val="0"/>
          <w:numId w:val="2"/>
        </w:numPr>
        <w:spacing w:line="480" w:lineRule="auto"/>
        <w:rPr>
          <w:rFonts w:ascii="Times New Roman" w:hAnsi="Times New Roman" w:cs="Times New Roman"/>
          <w:sz w:val="24"/>
          <w:szCs w:val="24"/>
        </w:rPr>
      </w:pPr>
      <w:r w:rsidRPr="00282A23">
        <w:rPr>
          <w:rFonts w:ascii="Times New Roman" w:hAnsi="Times New Roman" w:cs="Times New Roman"/>
          <w:sz w:val="24"/>
          <w:szCs w:val="24"/>
        </w:rPr>
        <w:t>Health issues arising from overcrowding</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Inmates in correctional facilities stand a much higher risk of diseases than the general population, and the facilities are more often not up to the task in terms of equipment and personnel. One such elevated risk level if for infectious diseases. The risk is three times higher for HIV/AIDS, with an increased propensity for tuberculosis, and hepatitis C. the facilities also lack screening and evidence-based treatment for HIV. The rates of STIs are higher for inmates, and higher in women than men (Westergaard, Spaulding, &amp; Flanigan, 2013). Correctional officers, correctional facility staff, and inmates are highly prone to injuries, be it accidental or intentional. A survey indicated that 32% of inmates in state correctional facilities incurred injuries during their stay. The danger is also evident in the leading cause of death for inmates from 2000, suicide.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rate of pregnancy for female inmates is between 6-10%. A survey in Rhode Island highlighted that 43% of prisoners entering jails conceived within one year of release (Magura, Lee, &amp; Hershberger, 2009). There is an increased need for providing contraceptives to these women in prisons. However, most health care providers in state prisons do not make use of the best policies and established standards while caring for these pregnant inmates. The incarcerated youth are also subject to increased morbidity and mortality rates. Two-thirds of the male and </w:t>
      </w:r>
      <w:r w:rsidRPr="00282A23">
        <w:rPr>
          <w:rFonts w:ascii="Times New Roman" w:hAnsi="Times New Roman" w:cs="Times New Roman"/>
          <w:sz w:val="24"/>
          <w:szCs w:val="24"/>
        </w:rPr>
        <w:lastRenderedPageBreak/>
        <w:t xml:space="preserve">three fourths from the female population of detained youth agree with the criteria set for a mental health disorder. From the group, the most prevalent diseases include mood, anxiety, substance abuse, and disruptive. The detention and incarceration also contribute to poor health and from injuries and exposure to violence. The group also suffers from lower social functioning status throughout their lifetime.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From 1990-2009, the prison population of the elderly has tripled (Sung, 2010). Adults older than 54 years have a higher propensity for chronic illnesses, inclusive of heart diseases, diabetes, and hypertension. Cognitive impairment and physical disabilities also make the group highly prone to injury and poorer health outcomes. The cost to health care makes the elderly the most expensive to cater for while serving their sentences in prisons, with most facilities inadequately equipped for such care. </w:t>
      </w:r>
    </w:p>
    <w:p w:rsidR="00282A23" w:rsidRPr="00282A23" w:rsidRDefault="00282A23" w:rsidP="00282A23">
      <w:pPr>
        <w:spacing w:line="480" w:lineRule="auto"/>
        <w:ind w:firstLine="720"/>
        <w:jc w:val="center"/>
        <w:rPr>
          <w:rFonts w:ascii="Times New Roman" w:hAnsi="Times New Roman" w:cs="Times New Roman"/>
          <w:b/>
          <w:sz w:val="24"/>
          <w:szCs w:val="24"/>
        </w:rPr>
      </w:pPr>
      <w:r w:rsidRPr="00282A23">
        <w:rPr>
          <w:rFonts w:ascii="Times New Roman" w:hAnsi="Times New Roman" w:cs="Times New Roman"/>
          <w:b/>
          <w:sz w:val="24"/>
          <w:szCs w:val="24"/>
        </w:rPr>
        <w:t>Alternative policy solutions to the problem</w:t>
      </w:r>
    </w:p>
    <w:p w:rsidR="00282A23" w:rsidRPr="00282A23" w:rsidRDefault="00282A23" w:rsidP="00282A23">
      <w:pPr>
        <w:pStyle w:val="ListParagraph"/>
        <w:numPr>
          <w:ilvl w:val="0"/>
          <w:numId w:val="1"/>
        </w:numPr>
        <w:spacing w:line="480" w:lineRule="auto"/>
        <w:rPr>
          <w:rFonts w:ascii="Times New Roman" w:hAnsi="Times New Roman" w:cs="Times New Roman"/>
          <w:sz w:val="24"/>
          <w:szCs w:val="24"/>
        </w:rPr>
      </w:pPr>
      <w:r w:rsidRPr="00282A23">
        <w:rPr>
          <w:rFonts w:ascii="Times New Roman" w:hAnsi="Times New Roman" w:cs="Times New Roman"/>
          <w:sz w:val="24"/>
          <w:szCs w:val="24"/>
        </w:rPr>
        <w:t>Camp courts</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Pre-trial detention is a common practice in criminal justice today. However, impacts of the imprisonment in jails before hearing your case in courts have fundamental, lasting implications for the inmates. The system also suffers from an intensive backlog of cases. Alternative measures may prove more efficient and less invasive for the victims, who cannot meet the bail. One such action is introducing camp courts. The policy involves the regular representation of the judiciary in jails to clear up the backlog of cases and offer their services that will reduce the overcrowding in prisons. The camp court requires judges, magistrates, court staff, and paralegals to enlarge the UTP in jail. The cases will be assessed with higher consideration for bail. Since the goal behind the bail is to force the accused to attend to the proceeding, the </w:t>
      </w:r>
      <w:r w:rsidRPr="00282A23">
        <w:rPr>
          <w:rFonts w:ascii="Times New Roman" w:hAnsi="Times New Roman" w:cs="Times New Roman"/>
          <w:sz w:val="24"/>
          <w:szCs w:val="24"/>
        </w:rPr>
        <w:lastRenderedPageBreak/>
        <w:t xml:space="preserve">policy will take into account the character of the accused and propensity to fail attendance before setting the bail. Such assessment will account for the personalities that do not justify imprisonment as motivation to appear in court. The risk assessments will account for the criminal record of the accused. Additionally,  and probable measures are taken if they do meet bail or the court decides he is not too risky to detain. Such measures include confiscation of passports and travel documents, supervision, check-ins, electronic monitoring, and judicial reminders.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amount set will also be dependent on the impoverished situation of the accused, assessing their capability to make the amount against the crime they are accused of committing. Since the proceedings do not grant a verdict on whether the persons are guilty or not, the courts should not disclose the identity of the individual to avoid probably ruining the character before sentencing. Therefore, the court staff and sub-inspectors are the only people allowed presence in the court camp hearings. Detention currently is a problem since inmates find it hard to find job placements even after they are declared not guilty. The policy also includes regularly furnish bond after settling a provisional P.R. bond for the candidates who are not able to make the bail. The camp courts will also consider the period served by the accused concerning the likely period to be served if sentencing found him to be guilty. In such scenarios, the camp courts can refer the accused to specific federal or state judicial facilities for determination of guilt or release. </w:t>
      </w:r>
    </w:p>
    <w:p w:rsidR="00282A23" w:rsidRPr="00282A23" w:rsidRDefault="00282A23" w:rsidP="00282A23">
      <w:pPr>
        <w:pStyle w:val="ListParagraph"/>
        <w:numPr>
          <w:ilvl w:val="0"/>
          <w:numId w:val="1"/>
        </w:numPr>
        <w:spacing w:line="480" w:lineRule="auto"/>
        <w:rPr>
          <w:rFonts w:ascii="Times New Roman" w:hAnsi="Times New Roman" w:cs="Times New Roman"/>
          <w:sz w:val="24"/>
          <w:szCs w:val="24"/>
        </w:rPr>
      </w:pPr>
      <w:r w:rsidRPr="00282A23">
        <w:rPr>
          <w:rFonts w:ascii="Times New Roman" w:hAnsi="Times New Roman" w:cs="Times New Roman"/>
          <w:sz w:val="24"/>
          <w:szCs w:val="24"/>
        </w:rPr>
        <w:t>Diversion</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strategy behind the policy involves directing people accused of a crime into care programs or treatment as opposed to incarceration. The context of diversion relies on the court officials and law enforcement personnel to exercise their granted rights of discretion in the </w:t>
      </w:r>
      <w:r w:rsidRPr="00282A23">
        <w:rPr>
          <w:rFonts w:ascii="Times New Roman" w:hAnsi="Times New Roman" w:cs="Times New Roman"/>
          <w:sz w:val="24"/>
          <w:szCs w:val="24"/>
        </w:rPr>
        <w:lastRenderedPageBreak/>
        <w:t>processing of offenders. The criminal justice system strives to accommodate measures that rehabilitate the accused rather than punish. The policy in question involves drug courts and mental health hearings. The offenders of drugs whose crimes are not violent are directed to the drug courts rather than the criminal courts. The courts impose sanctions on the conduct of the offenders aiming at reducing recidivism, criminal behavior, and substance abuse. The policy, however, is only probable for persons accused of minor offenses. Services are also the proportion to the care directed at altering their behavior and avoiding long-term incarceration. The policy provides a platform to address underlying issues of criminal behavior.</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For the drug abuse victims, their previous criminal records will provide a foundation for assessment for the probability of rehabilitation. The accused criminals to prior records and minimal chance of reforming will be sentenced to prison while also attending care clinics. Those whose papers are clean will be subject to diversion programs free from imprisonment. The policy will take the form of probation, restitution, or community service as a form of punishment, with high regard for drug abuse care. Restitution will offer reformative justice by allowing the offender a chance to repair the resultant harm from his criminal offense, while still allowing the accused an opportunity to lead his healthy life. Probation is only an option for a first-time offender, with the substantial promise of not committing criminal offenses for a specified duration, which the policy will stipulate two years. The plan provides grounds for relieving the prison system of the offenders of minor crimes by altering the war on drugs.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treatment and care for offenders diagnosed with mental health will be different. The policy would require additional personnel in law enforcement and also court proceedings to vouch for the psychological soundness of the accused. If the law enforcement personnel prescribe psychiatric health care for the offender, then he or she will avoid the criminal justice </w:t>
      </w:r>
      <w:r w:rsidRPr="00282A23">
        <w:rPr>
          <w:rFonts w:ascii="Times New Roman" w:hAnsi="Times New Roman" w:cs="Times New Roman"/>
          <w:sz w:val="24"/>
          <w:szCs w:val="24"/>
        </w:rPr>
        <w:lastRenderedPageBreak/>
        <w:t xml:space="preserve">system. The form of consideration will generally require the accused to attend care facilities while at home. However, such an option should only be viable for first-time offenders and those charged with minor offenses. Repeat offenders, however, will be subject to the entirety of court proceedings. However, the evaluation of mental health will give the judge sentencing options. The guilty with mental health and the possibility of danger to themselves and others will be incarcerated or serve at an inpatient facility. </w:t>
      </w:r>
    </w:p>
    <w:p w:rsidR="00282A23" w:rsidRPr="00282A23" w:rsidRDefault="00282A23" w:rsidP="00282A23">
      <w:pPr>
        <w:spacing w:line="480" w:lineRule="auto"/>
        <w:ind w:firstLine="720"/>
        <w:jc w:val="center"/>
        <w:rPr>
          <w:rFonts w:ascii="Times New Roman" w:hAnsi="Times New Roman" w:cs="Times New Roman"/>
          <w:b/>
          <w:sz w:val="24"/>
          <w:szCs w:val="24"/>
        </w:rPr>
      </w:pPr>
      <w:r w:rsidRPr="00282A23">
        <w:rPr>
          <w:rFonts w:ascii="Times New Roman" w:hAnsi="Times New Roman" w:cs="Times New Roman"/>
          <w:b/>
          <w:sz w:val="24"/>
          <w:szCs w:val="24"/>
        </w:rPr>
        <w:t>Criteria for selecting among the policy alternatives</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Both policies require additional personnel to facilitate the change in practice. The diversion program account needs additional psychiatrists in courts and law enforcement facilities. The camp courts will require additional judicial personnel who will regularly visit jail facilities to alleviate the burden of imprisonment. The addition of staff will also incur additional costs in hiring and facilitating their programs into the current structure of the proceedings. Policy considerations also include the impact on criminal justice. The proposal will assert evaluation based on the authority accumulated by the change, and any probable shift in the paradigm of the current structure. A considerable variation may prove counter-productive, requiring a series of implementations before the realization of objectives. The disadvantage of a prolonged implementation period is increased cost and burden. </w:t>
      </w:r>
    </w:p>
    <w:p w:rsidR="00282A23" w:rsidRPr="00282A23" w:rsidRDefault="00282A23" w:rsidP="00282A23">
      <w:pPr>
        <w:spacing w:line="480" w:lineRule="auto"/>
        <w:ind w:firstLine="720"/>
        <w:jc w:val="center"/>
        <w:rPr>
          <w:rFonts w:ascii="Times New Roman" w:hAnsi="Times New Roman" w:cs="Times New Roman"/>
          <w:b/>
          <w:sz w:val="24"/>
          <w:szCs w:val="24"/>
        </w:rPr>
      </w:pPr>
      <w:r w:rsidRPr="00282A23">
        <w:rPr>
          <w:rFonts w:ascii="Times New Roman" w:hAnsi="Times New Roman" w:cs="Times New Roman"/>
          <w:b/>
          <w:sz w:val="24"/>
          <w:szCs w:val="24"/>
        </w:rPr>
        <w:t>Policy recommendation</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policy adopted and recommended from this study is a diversion. Camp courts though competent, will be subject to jurisdiction. The states and local authorities may implement additional clauses for the courts that may shift their prerogatives from the expected objectives. The policy also creates the probability of conflict with other jurisdictions. The role stipulated of </w:t>
      </w:r>
      <w:r w:rsidRPr="00282A23">
        <w:rPr>
          <w:rFonts w:ascii="Times New Roman" w:hAnsi="Times New Roman" w:cs="Times New Roman"/>
          <w:sz w:val="24"/>
          <w:szCs w:val="24"/>
        </w:rPr>
        <w:lastRenderedPageBreak/>
        <w:t xml:space="preserve">the camp courts are currently under state and local courts. Though the policy aims at reducing the backlog, the system implements a strategy that provides two arenas of addressing the same issues. The resulting conflict in job specifications is a source of unnecessary and unfavorable contention between judicial bodies. The situation also presents a challenge in terms of duties for the additional personnel after the backlog of cases is cleared. With the only stipulated mandate achieved, the other staff will cost more taxpayers dollars with valid input.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courts also require an assessment of the character of the accused and offenders in setting bail. The evaluation also follows the review of their status as indigent in the setting of bail and adhering to bond. The considerations and valuations are both subject to bias, and therefore the prerogative of the change in policy may not be realized. The potential for subjectivism may increase the potential for discrimination and prejudice. With a population majority of indigent and minority communities, there is a high chance of bias. The above reasons make the prior policy of camp courts ineffective and costly to the taxpayers. </w:t>
      </w:r>
    </w:p>
    <w:p w:rsidR="00282A23" w:rsidRPr="00282A23" w:rsidRDefault="00282A23" w:rsidP="00282A23">
      <w:pPr>
        <w:spacing w:line="480" w:lineRule="auto"/>
        <w:jc w:val="center"/>
        <w:rPr>
          <w:rFonts w:ascii="Times New Roman" w:hAnsi="Times New Roman" w:cs="Times New Roman"/>
          <w:b/>
          <w:sz w:val="24"/>
          <w:szCs w:val="24"/>
        </w:rPr>
      </w:pPr>
      <w:r w:rsidRPr="00282A23">
        <w:rPr>
          <w:rFonts w:ascii="Times New Roman" w:hAnsi="Times New Roman" w:cs="Times New Roman"/>
          <w:b/>
          <w:sz w:val="24"/>
          <w:szCs w:val="24"/>
        </w:rPr>
        <w:t>Policy evaluation</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 xml:space="preserve">The diversion policy will have a considerable impact on pre-trial and pre-sentencing activities of the criminal justice system. Implementing the plan in law enforcement facilities will provide proper protection to the drug abusers and mental health victims. All of whom are crowding the prisons after harsh sentencing and length terms of service. Curbing the problem before it reaches the courts is an effective way of reducing the burden of criminal proceedings before the judicial body. The reduction of the weight may consequentially impact the backlog of cases yet to be determined by the criminal justice system. The policy will also influence the </w:t>
      </w:r>
      <w:r w:rsidRPr="00282A23">
        <w:rPr>
          <w:rFonts w:ascii="Times New Roman" w:hAnsi="Times New Roman" w:cs="Times New Roman"/>
          <w:sz w:val="24"/>
          <w:szCs w:val="24"/>
        </w:rPr>
        <w:lastRenderedPageBreak/>
        <w:t xml:space="preserve">tough on crime policy of the nation. Though the plan is a driving force for most politicians, the diversion will place parameters on how tough to become of specific crimes. </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t>The assessment will account for the inpatient facilities that hold offenders directed there by the criminal justice system. The population and funding flux in such facilities is an evident sign of diversion of the same from the criminal justice system. The evaluation will also account for the improved statistics in national statistics of people with mental health and the dangers they pose. Outcome evaluation is most significant for the assessment of the efficacy of the policy. Estimate will also account for the burden of running prison facilities on the residents of separate states and even the federal budget. With the rate of imprisonment reduced, the actual costs to citizens should drop instead of increasing or diversion to another program. A resultant drop in the federal budget for prison facilities should reflect an increase in the federal budget in diversion programs of negligible difference.</w:t>
      </w:r>
    </w:p>
    <w:p w:rsidR="00282A23" w:rsidRPr="00282A23" w:rsidRDefault="00282A23" w:rsidP="00282A23">
      <w:pPr>
        <w:spacing w:line="480" w:lineRule="auto"/>
        <w:ind w:firstLine="720"/>
        <w:rPr>
          <w:rFonts w:ascii="Times New Roman" w:hAnsi="Times New Roman" w:cs="Times New Roman"/>
          <w:sz w:val="24"/>
          <w:szCs w:val="24"/>
        </w:rPr>
      </w:pPr>
      <w:r w:rsidRPr="00282A23">
        <w:rPr>
          <w:rFonts w:ascii="Times New Roman" w:hAnsi="Times New Roman" w:cs="Times New Roman"/>
          <w:sz w:val="24"/>
          <w:szCs w:val="24"/>
        </w:rPr>
        <w:br w:type="page"/>
      </w:r>
    </w:p>
    <w:p w:rsidR="00282A23" w:rsidRPr="00282A23" w:rsidRDefault="00282A23" w:rsidP="00282A23">
      <w:pPr>
        <w:spacing w:line="480" w:lineRule="auto"/>
        <w:ind w:firstLine="720"/>
        <w:jc w:val="center"/>
        <w:rPr>
          <w:rFonts w:ascii="Times New Roman" w:hAnsi="Times New Roman" w:cs="Times New Roman"/>
          <w:sz w:val="24"/>
          <w:szCs w:val="24"/>
        </w:rPr>
      </w:pPr>
      <w:r w:rsidRPr="00282A23">
        <w:rPr>
          <w:rFonts w:ascii="Times New Roman" w:hAnsi="Times New Roman" w:cs="Times New Roman"/>
          <w:sz w:val="24"/>
          <w:szCs w:val="24"/>
        </w:rPr>
        <w:lastRenderedPageBreak/>
        <w:t>References</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Comfort, M., McKay, T., Landwehr, J., Kennedy, E., Bir, A., &amp; Lindquist, C. (2018, February 8). The costs of incarceration for families of prisoners. Internation Committee of The Red Cross.</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DeVuono-Powell, S., Schweidler, C., Walters, A., &amp; Zohrabi, A. (2015). Who pays? The true cost of incarceration on families. Oakland, CA: Ella Baker Center.</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Forman, B., &amp; Widmer, M. (2018, May). Revisiting Correctional Expenditure Trends in Massachusetts. Mass Incarceration: Research, Journalism, and Civic Life.</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Kaeble, D., &amp; Cowhig, M. (2018). Correctional Populations in the United States, 2016. U.S. Bureau of Justice Statistics.</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Kenney, K. (2016, July 19). Annual Determination of Average Cost of Incarceration. Retrieved October 14, 2019, from Federal Register: The Daily Journal of the United States Government: https://www.federalregister.gov/documents/2016/07/19/2016-17040/annual-determination-of-average-cost-of-incarceration</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Magura, S., Lee, J. D., &amp; Hershberger, J. (2009). Buprenorphine and methadone maintenance in jail and post-release: a randomized clinical trial. Drug Alcohol Depend, 99 (1-3), 222-230.</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Sung, H. E. (2010). Prevalence and risk factors of violence-related and accident-related injuries among state prisoners. Journal of Correctional Health Care, 107 (2), 372-380.</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 xml:space="preserve">Thomas, C. (2018, February 7). Prison Reform, the time is now. Retrieved October 13, 2019, from The Washington Post: </w:t>
      </w:r>
      <w:r w:rsidRPr="00282A23">
        <w:rPr>
          <w:rFonts w:ascii="Times New Roman" w:hAnsi="Times New Roman" w:cs="Times New Roman"/>
          <w:sz w:val="24"/>
          <w:szCs w:val="24"/>
        </w:rPr>
        <w:lastRenderedPageBreak/>
        <w:t>https://www.washingtontimes.com/news/2018/feb/7/american-prisons-are-overcrowded-cost-too-much-and/?utm_source=GOOGLE&amp;utm_medium=cpc&amp;utm_id=chacka&amp;utm_campaign=TWT+-+DSA&amp;gclid=CjwKCAjwlovtBRBrEiwAG3XJ-2VCwsxfWolKPQxUoQ690JN1uRMrB5u96L1HDl5BecgPic7KSWmXDho</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Vera Institute of Justice. (2015). The Price of Jails: Measuring the Taxpayer Costs for Local Incarceration. New York, NY: Vera Institute of Justice.</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Wakefield, S., &amp; Wildemand, C. (2014). Children of the Prison Boom. New York, NY: Oxford University Press.</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Westergaard, R. P., Spaulding, A. C., &amp; Flanigan, T. P. (2013). HIV among persons incarcerated in the U.S.: a review of evolving concepts in testing, treatment, and linkage to community care. Current opinion in inf</w:t>
      </w:r>
      <w:r>
        <w:rPr>
          <w:rFonts w:ascii="Times New Roman" w:hAnsi="Times New Roman" w:cs="Times New Roman"/>
          <w:sz w:val="24"/>
          <w:szCs w:val="24"/>
        </w:rPr>
        <w:t>ectious diseases, 26 (1), 10-16</w:t>
      </w:r>
    </w:p>
    <w:p w:rsidR="00282A23" w:rsidRPr="00282A23" w:rsidRDefault="00282A23" w:rsidP="00282A23">
      <w:pPr>
        <w:spacing w:line="480" w:lineRule="auto"/>
        <w:ind w:left="720" w:hanging="720"/>
        <w:rPr>
          <w:rFonts w:ascii="Times New Roman" w:hAnsi="Times New Roman" w:cs="Times New Roman"/>
          <w:sz w:val="24"/>
          <w:szCs w:val="24"/>
        </w:rPr>
      </w:pPr>
      <w:r w:rsidRPr="00282A23">
        <w:rPr>
          <w:rFonts w:ascii="Times New Roman" w:hAnsi="Times New Roman" w:cs="Times New Roman"/>
          <w:sz w:val="24"/>
          <w:szCs w:val="24"/>
        </w:rPr>
        <w:t>Yohanna, D. (2013). De-institutionalization of people with mental illness: Causes and Consequences. Virtual Mentor, 15 (10), 886-891.</w:t>
      </w:r>
    </w:p>
    <w:p w:rsidR="00030063" w:rsidRPr="00282A23" w:rsidRDefault="00030063" w:rsidP="00282A23">
      <w:pPr>
        <w:spacing w:line="480" w:lineRule="auto"/>
        <w:ind w:firstLine="720"/>
        <w:rPr>
          <w:rFonts w:ascii="Times New Roman" w:hAnsi="Times New Roman" w:cs="Times New Roman"/>
          <w:sz w:val="24"/>
          <w:szCs w:val="24"/>
        </w:rPr>
      </w:pPr>
    </w:p>
    <w:sectPr w:rsidR="00030063" w:rsidRPr="00282A23" w:rsidSect="00282A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AC6" w:rsidRDefault="00083AC6" w:rsidP="00282A23">
      <w:pPr>
        <w:spacing w:after="0" w:line="240" w:lineRule="auto"/>
      </w:pPr>
      <w:r>
        <w:separator/>
      </w:r>
    </w:p>
  </w:endnote>
  <w:endnote w:type="continuationSeparator" w:id="1">
    <w:p w:rsidR="00083AC6" w:rsidRDefault="00083AC6" w:rsidP="00282A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AC6" w:rsidRDefault="00083AC6" w:rsidP="00282A23">
      <w:pPr>
        <w:spacing w:after="0" w:line="240" w:lineRule="auto"/>
      </w:pPr>
      <w:r>
        <w:separator/>
      </w:r>
    </w:p>
  </w:footnote>
  <w:footnote w:type="continuationSeparator" w:id="1">
    <w:p w:rsidR="00083AC6" w:rsidRDefault="00083AC6" w:rsidP="00282A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23" w:rsidRPr="00282A23" w:rsidRDefault="00282A23">
    <w:pPr>
      <w:pStyle w:val="Header"/>
      <w:jc w:val="right"/>
      <w:rPr>
        <w:rFonts w:ascii="Times New Roman" w:hAnsi="Times New Roman" w:cs="Times New Roman"/>
        <w:sz w:val="24"/>
      </w:rPr>
    </w:pPr>
    <w:r w:rsidRPr="00282A23">
      <w:rPr>
        <w:rFonts w:ascii="Times New Roman" w:hAnsi="Times New Roman" w:cs="Times New Roman"/>
        <w:sz w:val="24"/>
      </w:rPr>
      <w:t>OVERCROWDING IN PRISONS AND POLICY RECOMMENDATION</w:t>
    </w:r>
    <w:r w:rsidRPr="00282A23">
      <w:rPr>
        <w:rFonts w:ascii="Times New Roman" w:hAnsi="Times New Roman" w:cs="Times New Roman"/>
        <w:sz w:val="24"/>
      </w:rPr>
      <w:tab/>
    </w:r>
    <w:sdt>
      <w:sdtPr>
        <w:rPr>
          <w:rFonts w:ascii="Times New Roman" w:hAnsi="Times New Roman" w:cs="Times New Roman"/>
          <w:sz w:val="24"/>
        </w:rPr>
        <w:id w:val="351978126"/>
        <w:docPartObj>
          <w:docPartGallery w:val="Page Numbers (Top of Page)"/>
          <w:docPartUnique/>
        </w:docPartObj>
      </w:sdtPr>
      <w:sdtContent>
        <w:r w:rsidRPr="00282A23">
          <w:rPr>
            <w:rFonts w:ascii="Times New Roman" w:hAnsi="Times New Roman" w:cs="Times New Roman"/>
            <w:sz w:val="24"/>
          </w:rPr>
          <w:fldChar w:fldCharType="begin"/>
        </w:r>
        <w:r w:rsidRPr="00282A23">
          <w:rPr>
            <w:rFonts w:ascii="Times New Roman" w:hAnsi="Times New Roman" w:cs="Times New Roman"/>
            <w:sz w:val="24"/>
          </w:rPr>
          <w:instrText xml:space="preserve"> PAGE   \* MERGEFORMAT </w:instrText>
        </w:r>
        <w:r w:rsidRPr="00282A23">
          <w:rPr>
            <w:rFonts w:ascii="Times New Roman" w:hAnsi="Times New Roman" w:cs="Times New Roman"/>
            <w:sz w:val="24"/>
          </w:rPr>
          <w:fldChar w:fldCharType="separate"/>
        </w:r>
        <w:r>
          <w:rPr>
            <w:rFonts w:ascii="Times New Roman" w:hAnsi="Times New Roman" w:cs="Times New Roman"/>
            <w:noProof/>
            <w:sz w:val="24"/>
          </w:rPr>
          <w:t>13</w:t>
        </w:r>
        <w:r w:rsidRPr="00282A23">
          <w:rPr>
            <w:rFonts w:ascii="Times New Roman" w:hAnsi="Times New Roman" w:cs="Times New Roman"/>
            <w:sz w:val="24"/>
          </w:rPr>
          <w:fldChar w:fldCharType="end"/>
        </w:r>
      </w:sdtContent>
    </w:sdt>
  </w:p>
  <w:p w:rsidR="00282A23" w:rsidRPr="00282A23" w:rsidRDefault="00282A2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23" w:rsidRPr="00282A23" w:rsidRDefault="00282A23">
    <w:pPr>
      <w:pStyle w:val="Header"/>
      <w:jc w:val="right"/>
      <w:rPr>
        <w:rFonts w:ascii="Times New Roman" w:hAnsi="Times New Roman" w:cs="Times New Roman"/>
        <w:sz w:val="24"/>
      </w:rPr>
    </w:pPr>
    <w:r w:rsidRPr="00282A23">
      <w:rPr>
        <w:rFonts w:ascii="Times New Roman" w:hAnsi="Times New Roman" w:cs="Times New Roman"/>
        <w:sz w:val="24"/>
      </w:rPr>
      <w:t xml:space="preserve">Running Head: OVERCROWDING IN PRISONS AND POLICY RECOMMENDATION </w:t>
    </w:r>
    <w:r w:rsidRPr="00282A23">
      <w:rPr>
        <w:rFonts w:ascii="Times New Roman" w:hAnsi="Times New Roman" w:cs="Times New Roman"/>
        <w:sz w:val="24"/>
      </w:rPr>
      <w:tab/>
    </w:r>
    <w:sdt>
      <w:sdtPr>
        <w:rPr>
          <w:rFonts w:ascii="Times New Roman" w:hAnsi="Times New Roman" w:cs="Times New Roman"/>
          <w:sz w:val="24"/>
        </w:rPr>
        <w:id w:val="351978179"/>
        <w:docPartObj>
          <w:docPartGallery w:val="Page Numbers (Top of Page)"/>
          <w:docPartUnique/>
        </w:docPartObj>
      </w:sdtPr>
      <w:sdtContent>
        <w:r w:rsidRPr="00282A23">
          <w:rPr>
            <w:rFonts w:ascii="Times New Roman" w:hAnsi="Times New Roman" w:cs="Times New Roman"/>
            <w:sz w:val="24"/>
          </w:rPr>
          <w:fldChar w:fldCharType="begin"/>
        </w:r>
        <w:r w:rsidRPr="00282A23">
          <w:rPr>
            <w:rFonts w:ascii="Times New Roman" w:hAnsi="Times New Roman" w:cs="Times New Roman"/>
            <w:sz w:val="24"/>
          </w:rPr>
          <w:instrText xml:space="preserve"> PAGE   \* MERGEFORMAT </w:instrText>
        </w:r>
        <w:r w:rsidRPr="00282A23">
          <w:rPr>
            <w:rFonts w:ascii="Times New Roman" w:hAnsi="Times New Roman" w:cs="Times New Roman"/>
            <w:sz w:val="24"/>
          </w:rPr>
          <w:fldChar w:fldCharType="separate"/>
        </w:r>
        <w:r>
          <w:rPr>
            <w:rFonts w:ascii="Times New Roman" w:hAnsi="Times New Roman" w:cs="Times New Roman"/>
            <w:noProof/>
            <w:sz w:val="24"/>
          </w:rPr>
          <w:t>1</w:t>
        </w:r>
        <w:r w:rsidRPr="00282A23">
          <w:rPr>
            <w:rFonts w:ascii="Times New Roman" w:hAnsi="Times New Roman" w:cs="Times New Roman"/>
            <w:sz w:val="24"/>
          </w:rPr>
          <w:fldChar w:fldCharType="end"/>
        </w:r>
      </w:sdtContent>
    </w:sdt>
  </w:p>
  <w:p w:rsidR="00282A23" w:rsidRPr="00282A23" w:rsidRDefault="00282A23">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D21E7"/>
    <w:multiLevelType w:val="hybridMultilevel"/>
    <w:tmpl w:val="B526E1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8A3EEB"/>
    <w:multiLevelType w:val="hybridMultilevel"/>
    <w:tmpl w:val="1C986D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71778"/>
    <w:rsid w:val="00030063"/>
    <w:rsid w:val="00083AC6"/>
    <w:rsid w:val="000B541C"/>
    <w:rsid w:val="00174D31"/>
    <w:rsid w:val="001762F2"/>
    <w:rsid w:val="00183279"/>
    <w:rsid w:val="00191DCB"/>
    <w:rsid w:val="001C647F"/>
    <w:rsid w:val="00244B7F"/>
    <w:rsid w:val="0025172D"/>
    <w:rsid w:val="00282A23"/>
    <w:rsid w:val="00296F28"/>
    <w:rsid w:val="002B0568"/>
    <w:rsid w:val="00336C0C"/>
    <w:rsid w:val="00410329"/>
    <w:rsid w:val="00496850"/>
    <w:rsid w:val="00556DBB"/>
    <w:rsid w:val="005577E0"/>
    <w:rsid w:val="006167E7"/>
    <w:rsid w:val="00642D1C"/>
    <w:rsid w:val="00671CC0"/>
    <w:rsid w:val="0072030A"/>
    <w:rsid w:val="008C250E"/>
    <w:rsid w:val="00924443"/>
    <w:rsid w:val="009B2B9A"/>
    <w:rsid w:val="009E6395"/>
    <w:rsid w:val="00A37F47"/>
    <w:rsid w:val="00A924A0"/>
    <w:rsid w:val="00AB4120"/>
    <w:rsid w:val="00AD56A6"/>
    <w:rsid w:val="00AE5BC0"/>
    <w:rsid w:val="00B80EE1"/>
    <w:rsid w:val="00BC5E15"/>
    <w:rsid w:val="00C153B4"/>
    <w:rsid w:val="00C24692"/>
    <w:rsid w:val="00CF13B6"/>
    <w:rsid w:val="00D02769"/>
    <w:rsid w:val="00E1462D"/>
    <w:rsid w:val="00E312F8"/>
    <w:rsid w:val="00E631C5"/>
    <w:rsid w:val="00E72AC6"/>
    <w:rsid w:val="00E8139E"/>
    <w:rsid w:val="00EB7AAB"/>
    <w:rsid w:val="00F258A8"/>
    <w:rsid w:val="00F717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EE1"/>
  </w:style>
  <w:style w:type="paragraph" w:styleId="Heading1">
    <w:name w:val="heading 1"/>
    <w:basedOn w:val="Normal"/>
    <w:next w:val="Normal"/>
    <w:link w:val="Heading1Char"/>
    <w:uiPriority w:val="9"/>
    <w:qFormat/>
    <w:rsid w:val="0003006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2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769"/>
    <w:rPr>
      <w:rFonts w:ascii="Tahoma" w:hAnsi="Tahoma" w:cs="Tahoma"/>
      <w:sz w:val="16"/>
      <w:szCs w:val="16"/>
    </w:rPr>
  </w:style>
  <w:style w:type="character" w:customStyle="1" w:styleId="Heading1Char">
    <w:name w:val="Heading 1 Char"/>
    <w:basedOn w:val="DefaultParagraphFont"/>
    <w:link w:val="Heading1"/>
    <w:uiPriority w:val="9"/>
    <w:rsid w:val="0003006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30063"/>
  </w:style>
  <w:style w:type="paragraph" w:styleId="ListParagraph">
    <w:name w:val="List Paragraph"/>
    <w:basedOn w:val="Normal"/>
    <w:uiPriority w:val="34"/>
    <w:qFormat/>
    <w:rsid w:val="00282A23"/>
    <w:pPr>
      <w:ind w:left="720"/>
      <w:contextualSpacing/>
    </w:pPr>
  </w:style>
  <w:style w:type="paragraph" w:styleId="Header">
    <w:name w:val="header"/>
    <w:basedOn w:val="Normal"/>
    <w:link w:val="HeaderChar"/>
    <w:uiPriority w:val="99"/>
    <w:unhideWhenUsed/>
    <w:rsid w:val="00282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A23"/>
  </w:style>
  <w:style w:type="paragraph" w:styleId="Footer">
    <w:name w:val="footer"/>
    <w:basedOn w:val="Normal"/>
    <w:link w:val="FooterChar"/>
    <w:uiPriority w:val="99"/>
    <w:semiHidden/>
    <w:unhideWhenUsed/>
    <w:rsid w:val="00282A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2A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Kae18</b:Tag>
    <b:SourceType>Report</b:SourceType>
    <b:Guid>{A229A9AE-3CB7-4D09-9496-DDAE6227E300}</b:Guid>
    <b:LCID>0</b:LCID>
    <b:Author>
      <b:Author>
        <b:NameList>
          <b:Person>
            <b:Last>Kaeble</b:Last>
            <b:First>Danielle</b:First>
          </b:Person>
          <b:Person>
            <b:Last>Cowhig</b:Last>
            <b:First>Mary</b:First>
          </b:Person>
        </b:NameList>
      </b:Author>
    </b:Author>
    <b:Title>Correctional Populations in The United States, 2016</b:Title>
    <b:Year>2018</b:Year>
    <b:Publisher>U.S. Bureau of Justice Statistics</b:Publisher>
    <b:RefOrder>1</b:RefOrder>
  </b:Source>
  <b:Source>
    <b:Tag>Tho181</b:Tag>
    <b:SourceType>InternetSite</b:SourceType>
    <b:Guid>{71F4A522-CB7A-4858-BD7E-D3AB8172F793}</b:Guid>
    <b:LCID>0</b:LCID>
    <b:Author>
      <b:Author>
        <b:NameList>
          <b:Person>
            <b:Last>Thomas</b:Last>
            <b:First>Cal</b:First>
          </b:Person>
        </b:NameList>
      </b:Author>
    </b:Author>
    <b:Title>Prison Reform, the time is now</b:Title>
    <b:Year>2018</b:Year>
    <b:InternetSiteTitle>The Washington Post</b:InternetSiteTitle>
    <b:Month>February</b:Month>
    <b:Day>7</b:Day>
    <b:YearAccessed>2019</b:YearAccessed>
    <b:MonthAccessed>October</b:MonthAccessed>
    <b:DayAccessed>13</b:DayAccessed>
    <b:URL>https://www.washingtontimes.com/news/2018/feb/7/american-prisons-are-overcrowded-cost-too-much-and/?utm_source=GOOGLE&amp;utm_medium=cpc&amp;utm_id=chacka&amp;utm_campaign=TWT+-+DSA&amp;gclid=CjwKCAjwlovtBRBrEiwAG3XJ-2VCwsxfWolKPQxUoQ690JN1uRMrB5u96L1HDl5BecgPic7KSWmXDho</b:URL>
    <b:RefOrder>12</b:RefOrder>
  </b:Source>
  <b:Source>
    <b:Tag>Ken16</b:Tag>
    <b:SourceType>InternetSite</b:SourceType>
    <b:Guid>{8D388BBD-E0DE-40B0-824C-5AC4F871CE73}</b:Guid>
    <b:LCID>0</b:LCID>
    <b:Author>
      <b:Author>
        <b:NameList>
          <b:Person>
            <b:Last>Kenney</b:Last>
            <b:First>Kathleen</b:First>
          </b:Person>
        </b:NameList>
      </b:Author>
    </b:Author>
    <b:Title>Annual Determination of Average Cost of Incarceration</b:Title>
    <b:InternetSiteTitle>Federal Register: The Daily Journal of the United States Government</b:InternetSiteTitle>
    <b:Year>2016</b:Year>
    <b:Month>July</b:Month>
    <b:Day>19</b:Day>
    <b:YearAccessed>2019</b:YearAccessed>
    <b:MonthAccessed>October</b:MonthAccessed>
    <b:DayAccessed>14</b:DayAccessed>
    <b:URL>https://www.federalregister.gov/documents/2016/07/19/2016-17040/annual-determination-of-average-cost-of-incarceration</b:URL>
    <b:RefOrder>4</b:RefOrder>
  </b:Source>
  <b:Source>
    <b:Tag>For18</b:Tag>
    <b:SourceType>JournalArticle</b:SourceType>
    <b:Guid>{655D0932-B110-447D-BEFE-C33906FE4503}</b:Guid>
    <b:LCID>0</b:LCID>
    <b:Author>
      <b:Author>
        <b:NameList>
          <b:Person>
            <b:Last>Forman</b:Last>
            <b:First>Ben</b:First>
          </b:Person>
          <b:Person>
            <b:Last>Widmer</b:Last>
            <b:First>Michael</b:First>
          </b:Person>
        </b:NameList>
      </b:Author>
    </b:Author>
    <b:Title>Revisiting Correctional Expenditure Trends in Massachusetts</b:Title>
    <b:Year>2018</b:Year>
    <b:Month>May</b:Month>
    <b:JournalName>Mass Incarceration: Research, Journalism, and Civic Life</b:JournalName>
    <b:StandardNumber>https://massinc.org/wp-content/uploads/2018/05/Revisiting-Correctional-Expenditure-Trends-in-Massachusetts.pdf</b:StandardNumber>
    <b:RefOrder>5</b:RefOrder>
  </b:Source>
  <b:Source>
    <b:Tag>DeV15</b:Tag>
    <b:SourceType>Book</b:SourceType>
    <b:Guid>{1504F89C-8405-4A46-904C-570B8BCD3ED1}</b:Guid>
    <b:LCID>0</b:LCID>
    <b:Author>
      <b:Author>
        <b:NameList>
          <b:Person>
            <b:Last>DeVuono-Powell</b:Last>
            <b:First>S.</b:First>
          </b:Person>
          <b:Person>
            <b:Last>Schweidler</b:Last>
            <b:First>C.</b:First>
          </b:Person>
          <b:Person>
            <b:Last>Walters</b:Last>
            <b:First>A.</b:First>
          </b:Person>
          <b:Person>
            <b:Last>Zohrabi</b:Last>
            <b:First>A.</b:First>
          </b:Person>
        </b:NameList>
      </b:Author>
    </b:Author>
    <b:Title>Who pays? The true cost of incarceration on families</b:Title>
    <b:Year>2015</b:Year>
    <b:City>Oakland, CA</b:City>
    <b:Publisher>Ella Baker Center</b:Publisher>
    <b:RefOrder>6</b:RefOrder>
  </b:Source>
  <b:Source>
    <b:Tag>Wak14</b:Tag>
    <b:SourceType>Book</b:SourceType>
    <b:Guid>{FA3319F0-3C19-4EE2-A44E-840145CF762F}</b:Guid>
    <b:LCID>0</b:LCID>
    <b:Author>
      <b:Author>
        <b:NameList>
          <b:Person>
            <b:Last>Wakefield</b:Last>
            <b:First>S.</b:First>
          </b:Person>
          <b:Person>
            <b:Last>Wildemand</b:Last>
            <b:First>C</b:First>
          </b:Person>
        </b:NameList>
      </b:Author>
    </b:Author>
    <b:Title>Children of the Prison Boom</b:Title>
    <b:Year>2014</b:Year>
    <b:City>New York, NY</b:City>
    <b:Publisher>Oxford University Press</b:Publisher>
    <b:RefOrder>7</b:RefOrder>
  </b:Source>
  <b:Source>
    <b:Tag>Ver15</b:Tag>
    <b:SourceType>Report</b:SourceType>
    <b:Guid>{7EA2C2CB-25FC-4DFC-9748-988E67169E96}</b:Guid>
    <b:LCID>0</b:LCID>
    <b:Author>
      <b:Author>
        <b:Corporate>Vera Instititute of Justice</b:Corporate>
      </b:Author>
    </b:Author>
    <b:Title>The Price of Jails: Measuring the Tapayer Costs for Local Incarceration</b:Title>
    <b:Year>2015</b:Year>
    <b:City>New York, NY</b:City>
    <b:Publisher>Vera Instititute of Justice</b:Publisher>
    <b:RefOrder>2</b:RefOrder>
  </b:Source>
  <b:Source>
    <b:Tag>Com18</b:Tag>
    <b:SourceType>JournalArticle</b:SourceType>
    <b:Guid>{AA8E3EAC-72FC-4C6F-A2A0-644ADE22DBCA}</b:Guid>
    <b:LCID>0</b:LCID>
    <b:Author>
      <b:Author>
        <b:NameList>
          <b:Person>
            <b:Last>Comfort</b:Last>
            <b:First>Megan</b:First>
          </b:Person>
          <b:Person>
            <b:Last>McKay</b:Last>
            <b:First>Tasseli</b:First>
          </b:Person>
          <b:Person>
            <b:Last>Landwehr</b:Last>
            <b:First>Justin</b:First>
          </b:Person>
          <b:Person>
            <b:Last>Kennedy</b:Last>
            <b:First>Erin</b:First>
          </b:Person>
          <b:Person>
            <b:Last>Bir</b:Last>
            <b:First>Anupa</b:First>
          </b:Person>
          <b:Person>
            <b:Last>Lindquist</b:Last>
            <b:First>Christine</b:First>
          </b:Person>
        </b:NameList>
      </b:Author>
    </b:Author>
    <b:Title>The costs of incarceration for families of prisoners</b:Title>
    <b:Year>2018</b:Year>
    <b:JournalName>Internation Committee of The Red Cross</b:JournalName>
    <b:Month>February</b:Month>
    <b:Day>8</b:Day>
    <b:RefOrder>8</b:RefOrder>
  </b:Source>
  <b:Source>
    <b:Tag>Yoh13</b:Tag>
    <b:SourceType>JournalArticle</b:SourceType>
    <b:Guid>{CF868C23-8241-45BE-B43C-C696306FDF84}</b:Guid>
    <b:LCID>0</b:LCID>
    <b:Author>
      <b:Author>
        <b:NameList>
          <b:Person>
            <b:Last>Yohanna</b:Last>
            <b:First>D.</b:First>
          </b:Person>
        </b:NameList>
      </b:Author>
    </b:Author>
    <b:Title>Deinstitutionalization of people with mental illness: Causes and Consquences</b:Title>
    <b:JournalName>Virtual Mentor</b:JournalName>
    <b:Year>2013</b:Year>
    <b:Pages>886-891</b:Pages>
    <b:Volume>15</b:Volume>
    <b:Issue>10</b:Issue>
    <b:RefOrder>3</b:RefOrder>
  </b:Source>
  <b:Source>
    <b:Tag>Sun10</b:Tag>
    <b:SourceType>JournalArticle</b:SourceType>
    <b:Guid>{3623B250-06BC-41E0-8CDD-EB1B3344C809}</b:Guid>
    <b:LCID>0</b:LCID>
    <b:Author>
      <b:Author>
        <b:NameList>
          <b:Person>
            <b:Last>Sung</b:Last>
            <b:First>H.</b:First>
            <b:Middle>E.</b:Middle>
          </b:Person>
        </b:NameList>
      </b:Author>
    </b:Author>
    <b:Title>Prevalence and risks factors of violence-related and accident related injuries among state prisoners</b:Title>
    <b:JournalName>Journal of Correctional Health Care</b:JournalName>
    <b:Year>2010</b:Year>
    <b:Pages>372-380</b:Pages>
    <b:Volume>107</b:Volume>
    <b:Issue>2</b:Issue>
    <b:RefOrder>11</b:RefOrder>
  </b:Source>
  <b:Source>
    <b:Tag>Mag09</b:Tag>
    <b:SourceType>JournalArticle</b:SourceType>
    <b:Guid>{65A98F5B-F7A6-4FA5-A285-3DFE3C820FE0}</b:Guid>
    <b:LCID>0</b:LCID>
    <b:Author>
      <b:Author>
        <b:NameList>
          <b:Person>
            <b:Last>Magura</b:Last>
            <b:First>S.</b:First>
          </b:Person>
          <b:Person>
            <b:Last>Lee</b:Last>
            <b:First>J</b:First>
            <b:Middle>D</b:Middle>
          </b:Person>
          <b:Person>
            <b:Last>Hershberger</b:Last>
            <b:First>J.</b:First>
          </b:Person>
        </b:NameList>
      </b:Author>
    </b:Author>
    <b:Title>Buprenorphine and methadone maintenance in jail and post-release: a randomized clinical trial</b:Title>
    <b:JournalName>Drug Alcohol Depend</b:JournalName>
    <b:Year>2009</b:Year>
    <b:Pages>222-230</b:Pages>
    <b:Volume>99</b:Volume>
    <b:Issue>1-3</b:Issue>
    <b:RefOrder>10</b:RefOrder>
  </b:Source>
  <b:Source>
    <b:Tag>Wes13</b:Tag>
    <b:SourceType>JournalArticle</b:SourceType>
    <b:Guid>{293C4F2D-B652-4B6C-AD2C-3AB910E2C8A6}</b:Guid>
    <b:LCID>0</b:LCID>
    <b:Author>
      <b:Author>
        <b:NameList>
          <b:Person>
            <b:Last>Westergaard</b:Last>
            <b:First>R</b:First>
            <b:Middle>P</b:Middle>
          </b:Person>
          <b:Person>
            <b:Last>Spaulding</b:Last>
            <b:First>A</b:First>
            <b:Middle>C</b:Middle>
          </b:Person>
          <b:Person>
            <b:Last>Flanigan</b:Last>
            <b:First>T</b:First>
            <b:Middle>P</b:Middle>
          </b:Person>
        </b:NameList>
      </b:Author>
    </b:Author>
    <b:Title>HIV among persons incarcerated in the US: a review of evolving concepts in testing, treatment and linkage to community care</b:Title>
    <b:JournalName>Current opinion in infectious diseases</b:JournalName>
    <b:Year>2013</b:Year>
    <b:Pages>10-16</b:Pages>
    <b:Volume>26</b:Volume>
    <b:Issue>1</b:Issue>
    <b:RefOrder>9</b:RefOrder>
  </b:Source>
</b:Sources>
</file>

<file path=customXml/itemProps1.xml><?xml version="1.0" encoding="utf-8"?>
<ds:datastoreItem xmlns:ds="http://schemas.openxmlformats.org/officeDocument/2006/customXml" ds:itemID="{38BDA0DF-393A-4E19-8597-DA69A7127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843</TotalTime>
  <Pages>15</Pages>
  <Words>3659</Words>
  <Characters>20858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2019-10-14T01:33:00Z</dcterms:created>
  <dcterms:modified xsi:type="dcterms:W3CDTF">2019-10-14T16:05:00Z</dcterms:modified>
</cp:coreProperties>
</file>